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E0" w:rsidRDefault="00A472E0" w:rsidP="00A472E0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br/>
        <w:t xml:space="preserve">к проекту </w:t>
      </w:r>
      <w:r w:rsidRPr="00A472E0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и</w:t>
      </w:r>
      <w:r w:rsidRPr="00A472E0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proofErr w:type="spellStart"/>
      <w:r w:rsidR="0084676E">
        <w:rPr>
          <w:rFonts w:ascii="Times New Roman" w:hAnsi="Times New Roman"/>
          <w:sz w:val="28"/>
          <w:szCs w:val="28"/>
        </w:rPr>
        <w:t>Обливского</w:t>
      </w:r>
      <w:proofErr w:type="spellEnd"/>
      <w:r w:rsidR="0084676E">
        <w:rPr>
          <w:rFonts w:ascii="Times New Roman" w:hAnsi="Times New Roman"/>
          <w:sz w:val="28"/>
          <w:szCs w:val="28"/>
        </w:rPr>
        <w:t xml:space="preserve"> района</w:t>
      </w:r>
      <w:r w:rsidRPr="00A47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472E0">
        <w:rPr>
          <w:rFonts w:ascii="Times New Roman" w:hAnsi="Times New Roman"/>
          <w:sz w:val="28"/>
          <w:szCs w:val="28"/>
        </w:rPr>
        <w:t>до 2030 года</w:t>
      </w:r>
    </w:p>
    <w:p w:rsidR="00A472E0" w:rsidRDefault="00A472E0" w:rsidP="00A472E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до 2030 года (далее Стратегия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района) разработана в соответствии с Федеральным законом от 28 июня 2014 г. № 172-ФЗ «О стратегическом планировании в Российской Федерации» и является ключевым документом стратегического планирования на муниципальном уровне, который опирается на стратегические документы федерального, регионального и муниципального уровня, включая Прогноз долгосрочного социально – экономического развития Ростовской области на период до</w:t>
      </w:r>
      <w:proofErr w:type="gram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2030 года, Прогноз социально-экономического развития Ростовской области на 2019 – 2021 годы Бюджетный прогноз Ростовской области  на долгосрочный период.</w:t>
      </w:r>
      <w:r w:rsidRPr="0084676E">
        <w:rPr>
          <w:rFonts w:ascii="Times New Roman" w:eastAsiaTheme="minorHAnsi" w:hAnsi="Times New Roman"/>
          <w:color w:val="1F497D" w:themeColor="text2"/>
          <w:sz w:val="28"/>
          <w:szCs w:val="28"/>
          <w:lang w:eastAsia="en-US"/>
        </w:rPr>
        <w:t xml:space="preserve"> </w:t>
      </w:r>
      <w:proofErr w:type="gram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положения Стратегии 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основываются на документах целеполагания федерального уровня (Концепция долгосрочного социально-экономического развития Российской Федерации на период до 2020 года, Стратегия национальной безопасности Российской Федерации, Стратегия научно-технологического развития Российской Федерации, Послание Президента Российской Федерации Федеральному Собранию Российской Федерации, Указ Президента Российской Федерации от 07.05.2018 г. № 204 «О национальных целях и стратегических задачах развития Российской Федерации на период до</w:t>
      </w:r>
      <w:proofErr w:type="gram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2024 года») и на иных федеральных и региональных документах, разрабатываемых по отраслевому и территориальному принципу.</w:t>
      </w:r>
      <w:proofErr w:type="gram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Стратегия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учитывает все имеющиеся документы планирования и программирования федерального, регионального уровня (государственные программы РФ и Ростовской области,  Схемы территориального планирования РФ и Ростовской области), а также Стратегию социально-экономического развития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на период до 2020 года.</w:t>
      </w: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Будучи основным элементом системы муниципального целеполагания, Стратегия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опирается также на прогнозные документы муниципального уровня, такие как Долгосрочный прогноз социально-экономического развития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период до 2030 года, Прогноз социально-экономического развития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на 2019 – 2021 годы, Бюджетный прогноз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на период 2017 – 2022 годов.</w:t>
      </w: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Основные приоритетные направления социально-экономического развития, определённые Стратегией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района, должны быть раскрыты и конкретизированы в следующих документах планирования и программирования:</w:t>
      </w: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•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План мероприятий по реализации стратегии социально-экономического развития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района;</w:t>
      </w: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Муниципальные программы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района;</w:t>
      </w: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•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Схема территориального планирования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района.</w:t>
      </w:r>
    </w:p>
    <w:p w:rsid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Концептуальной основой Стратегии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является идея устойчивого развития – согласованное и сбалансированное экономическое, социальное и пространственное развитие, с учётом и соблюдением интересов настоящего и будущего поколений жителей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Стратегия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</w:t>
      </w:r>
      <w:r w:rsidRPr="0084676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разработана в соответствии с методологической схемой «Вызов-Ответ»,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которая задает логику развития района в долгосрочной перспективе и определяется преодолением трансформационных процессов, происходящих во внешней среде, – в мире и России.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Внешняя среда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влияет на состояние и развитие района и ставит перед ним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вызовы.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зависимости от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слабых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сильных сторон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района вызов несет, соответственно,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угрозы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возможности.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Ответ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– это набор идей, концепций, инструментов, технологий, новых систем ценностей, которые создают условия для преодоления вызова, как за счет решения внутренних проблем, так и за счет реализации возможностей внешней среды.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Комплексный ответ на вызовы формируется в соответствии с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системой целеполагания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которая на верхнем уровне формирует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миссию района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Миссия района конкретизируется через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систему целей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и связанных с ней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индикаторов. В Стратегии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выделяются два типа целей:</w:t>
      </w:r>
    </w:p>
    <w:p w:rsidR="0084676E" w:rsidRPr="0084676E" w:rsidRDefault="0084676E" w:rsidP="008467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динамические цели исходят из интересов объекта </w:t>
      </w:r>
      <w:proofErr w:type="spellStart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стратегирования</w:t>
      </w:r>
      <w:proofErr w:type="spellEnd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(для экономической политики – хозяйствующие субъекты; для социальной политики – население; для пространственной политики – городское пространство) и предусматривают интенсивное количественное позитивное изменение характеризующего его индикатора;</w:t>
      </w:r>
    </w:p>
    <w:p w:rsidR="0084676E" w:rsidRPr="0084676E" w:rsidRDefault="0084676E" w:rsidP="0084676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структурные цели исходят из интересов устойчивого развития и предусматривают качественное изменение сферы </w:t>
      </w:r>
      <w:proofErr w:type="spellStart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стратегирования</w:t>
      </w:r>
      <w:proofErr w:type="spellEnd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: преобразование ее структуры, устранение диспропорций.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Вариативность степени достижения целей определяется реализацией различных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сценариев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и выражается в соответствующих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ожидаемых результатах.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Механизм реализации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Стратегии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основан на решении приоритетных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задач </w:t>
      </w:r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и реализации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стратегических проектных инициатив.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Приоритетная задача определяется как деятельность, направленная на преодоление ключевых внутренних проблем, которые препятствуют достижению динамической цели или оказывают негативное влияние на неё.</w:t>
      </w:r>
    </w:p>
    <w:p w:rsidR="0084676E" w:rsidRPr="0084676E" w:rsidRDefault="0084676E" w:rsidP="0084676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Стратегическая проектная инициатива (СПИН) предполагает реализацию потенциала внутренних сильных сторон в рамках ключевых внешних трендов. </w:t>
      </w:r>
      <w:proofErr w:type="spellStart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СПИНы</w:t>
      </w:r>
      <w:proofErr w:type="spellEnd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Стратегии </w:t>
      </w:r>
      <w:proofErr w:type="spellStart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>Обливского</w:t>
      </w:r>
      <w:proofErr w:type="spellEnd"/>
      <w:r w:rsidRPr="0084676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 </w:t>
      </w:r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сформулированы как идеи муниципального масштаба, консолидирующие муниципальные ресурсы и объединяющие </w:t>
      </w:r>
      <w:proofErr w:type="gramStart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основных</w:t>
      </w:r>
      <w:proofErr w:type="gramEnd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стейкхолдеров</w:t>
      </w:r>
      <w:proofErr w:type="spellEnd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(общество, власть, бизнес) на достижение структурной цели. Реализация </w:t>
      </w:r>
      <w:proofErr w:type="spellStart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>СПИНов</w:t>
      </w:r>
      <w:proofErr w:type="spellEnd"/>
      <w:r w:rsidRPr="008467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носит трансформационный и мультипликативный эффекты для социально-экономической системы района.</w:t>
      </w:r>
    </w:p>
    <w:p w:rsidR="0084676E" w:rsidRPr="0084676E" w:rsidRDefault="0084676E" w:rsidP="0084676E">
      <w:pPr>
        <w:tabs>
          <w:tab w:val="left" w:pos="1134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</w:p>
    <w:p w:rsidR="00502328" w:rsidRPr="0084676E" w:rsidRDefault="00502328" w:rsidP="0084676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502328" w:rsidRPr="0084676E" w:rsidSect="00A472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11E4"/>
    <w:multiLevelType w:val="hybridMultilevel"/>
    <w:tmpl w:val="3A3C98B6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E0"/>
    <w:rsid w:val="002A7EFA"/>
    <w:rsid w:val="00324D52"/>
    <w:rsid w:val="004E7F81"/>
    <w:rsid w:val="00502328"/>
    <w:rsid w:val="005E0BA2"/>
    <w:rsid w:val="006C48F6"/>
    <w:rsid w:val="007E0278"/>
    <w:rsid w:val="0084676E"/>
    <w:rsid w:val="008C178C"/>
    <w:rsid w:val="009D12B7"/>
    <w:rsid w:val="00A023EA"/>
    <w:rsid w:val="00A472E0"/>
    <w:rsid w:val="00A767E3"/>
    <w:rsid w:val="00CC2986"/>
    <w:rsid w:val="00CE0E06"/>
    <w:rsid w:val="00E4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 для документа Знак"/>
    <w:basedOn w:val="a0"/>
    <w:link w:val="a4"/>
    <w:uiPriority w:val="34"/>
    <w:locked/>
    <w:rsid w:val="00A472E0"/>
  </w:style>
  <w:style w:type="paragraph" w:styleId="a4">
    <w:name w:val="List Paragraph"/>
    <w:aliases w:val="ПАРАГРАФ,Абзац списка для документа"/>
    <w:basedOn w:val="a"/>
    <w:link w:val="a3"/>
    <w:uiPriority w:val="34"/>
    <w:qFormat/>
    <w:rsid w:val="00A472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 для документа Знак"/>
    <w:basedOn w:val="a0"/>
    <w:link w:val="a4"/>
    <w:uiPriority w:val="34"/>
    <w:locked/>
    <w:rsid w:val="00A472E0"/>
  </w:style>
  <w:style w:type="paragraph" w:styleId="a4">
    <w:name w:val="List Paragraph"/>
    <w:aliases w:val="ПАРАГРАФ,Абзац списка для документа"/>
    <w:basedOn w:val="a"/>
    <w:link w:val="a3"/>
    <w:uiPriority w:val="34"/>
    <w:qFormat/>
    <w:rsid w:val="00A472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отд.анализа эффект.деят-ти органов исп.власти</dc:creator>
  <cp:lastModifiedBy>8-1</cp:lastModifiedBy>
  <cp:revision>3</cp:revision>
  <dcterms:created xsi:type="dcterms:W3CDTF">2018-11-12T12:17:00Z</dcterms:created>
  <dcterms:modified xsi:type="dcterms:W3CDTF">2018-11-19T06:59:00Z</dcterms:modified>
</cp:coreProperties>
</file>